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gfke4hs0drzj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VOGLIO VIVER CON TE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Voglio viver con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 che sento in 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poter cantare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tanta gente questo amore.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Voglio unir con te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 che ho dentro me.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cammino in due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una nuova strada si farà.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Donna come me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che sceglie di star con te.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Ti amo, ti amo perché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ogni attimo di vita è vero per me.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Ora parlo io,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uomo di poca fede,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quante volte ho detto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il mio amore per te.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Ora è giunto il momento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di dirlo davanti a Lui.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 Lui, a voi amici, amici miei.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Amore, amore, amore,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se il Signore un giorno ci darà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 figli da cullare, da crescer nella bontà.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Fa’ che crescan liberi, liberali dal nostro egoismo.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Fa’ che siano puri, come puro è il nostro amor.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La nostra casa aperta, come aperto è l’orizzonte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 che la vita in due non ci chiuda dentro noi.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La mano sempre pronta ad aiutare i figli tuoi.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Signore fa’ che il sogno sia vero dentro noi.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Signore fa’ che il sogno sia vero anche per noi.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